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40"/>
      </w:pPr>
      <w:r>
        <w:drawing>
          <wp:inline xmlns:a="http://schemas.openxmlformats.org/drawingml/2006/main" xmlns:pic="http://schemas.openxmlformats.org/drawingml/2006/picture">
            <wp:extent cx="621792" cy="314253"/>
            <wp:docPr id="1" name="I4S.Consulting logo" descr="Official I4S.Consulting logo"/>
            <wp:cNvGraphicFramePr>
              <a:graphicFrameLocks noChangeAspect="1"/>
            </wp:cNvGraphicFramePr>
            <a:graphic>
              <a:graphicData uri="http://schemas.openxmlformats.org/drawingml/2006/picture">
                <pic:pic>
                  <pic:nvPicPr>
                    <pic:cNvPr id="0" name="i4s_logo_crop.png"/>
                    <pic:cNvPicPr/>
                  </pic:nvPicPr>
                  <pic:blipFill>
                    <a:blip r:embed="rId10"/>
                    <a:stretch>
                      <a:fillRect/>
                    </a:stretch>
                  </pic:blipFill>
                  <pic:spPr>
                    <a:xfrm>
                      <a:off x="0" y="0"/>
                      <a:ext cx="621792" cy="314253"/>
                    </a:xfrm>
                    <a:prstGeom prst="rect"/>
                  </pic:spPr>
                </pic:pic>
              </a:graphicData>
            </a:graphic>
          </wp:inline>
        </w:drawing>
      </w:r>
    </w:p>
    <w:p>
      <w:pPr>
        <w:pStyle w:val="Title"/>
      </w:pPr>
      <w:r>
        <w:t>SAHEL DAILY INTELLIGENCE BRIEF</w:t>
      </w:r>
    </w:p>
    <w:p>
      <w:pPr>
        <w:pStyle w:val="Subtitle"/>
      </w:pPr>
      <w:r>
        <w:t>Security, political and humanitarian developments | 13 August 2026</w:t>
      </w:r>
    </w:p>
    <w:tbl>
      <w:tblPr>
        <w:tblStyle w:val="TableGrid"/>
        <w:tblW w:type="dxa" w:w="9360"/>
        <w:jc w:val="left"/>
        <w:tblLayout w:type="fixed"/>
        <w:tblLook w:firstColumn="1" w:firstRow="1" w:lastColumn="0" w:lastRow="0" w:noHBand="0" w:noVBand="1" w:val="04A0"/>
        <w:tblInd w:w="120" w:type="dxa"/>
      </w:tblPr>
      <w:tblGrid>
        <w:gridCol w:w="1800"/>
        <w:gridCol w:w="7560"/>
      </w:tblGrid>
      <w:tr>
        <w:tc>
          <w:tcPr>
            <w:tcW w:type="dxa" w:w="1800"/>
            <w:shd w:fill="EAF1F7"/>
            <w:tcMar>
              <w:top w:w="80" w:type="dxa"/>
              <w:start w:w="120" w:type="dxa"/>
              <w:bottom w:w="80" w:type="dxa"/>
              <w:end w:w="120" w:type="dxa"/>
            </w:tcMar>
            <w:vAlign w:val="center"/>
          </w:tcPr>
          <w:p>
            <w:pPr>
              <w:spacing w:after="0"/>
            </w:pPr>
            <w:r>
              <w:rPr>
                <w:rFonts w:ascii="Calibri" w:hAnsi="Calibri"/>
                <w:b/>
                <w:color w:val="0B1F33"/>
                <w:sz w:val="18"/>
              </w:rPr>
              <w:t>Report date</w:t>
            </w:r>
          </w:p>
        </w:tc>
        <w:tc>
          <w:tcPr>
            <w:tcW w:type="dxa" w:w="7560"/>
            <w:tcMar>
              <w:top w:w="80" w:type="dxa"/>
              <w:start w:w="120" w:type="dxa"/>
              <w:bottom w:w="80" w:type="dxa"/>
              <w:end w:w="120" w:type="dxa"/>
            </w:tcMar>
            <w:vAlign w:val="center"/>
          </w:tcPr>
          <w:p>
            <w:pPr>
              <w:spacing w:after="0"/>
            </w:pPr>
            <w:r>
              <w:rPr>
                <w:rFonts w:ascii="Calibri" w:hAnsi="Calibri"/>
                <w:color w:val="111111"/>
                <w:sz w:val="18"/>
              </w:rPr>
              <w:t>13 August 2026</w:t>
            </w:r>
          </w:p>
        </w:tc>
      </w:tr>
      <w:tr>
        <w:tc>
          <w:tcPr>
            <w:tcW w:type="dxa" w:w="1800"/>
            <w:shd w:fill="EAF1F7"/>
            <w:tcMar>
              <w:top w:w="80" w:type="dxa"/>
              <w:start w:w="120" w:type="dxa"/>
              <w:bottom w:w="80" w:type="dxa"/>
              <w:end w:w="120" w:type="dxa"/>
            </w:tcMar>
            <w:vAlign w:val="center"/>
          </w:tcPr>
          <w:p>
            <w:pPr>
              <w:spacing w:after="0"/>
            </w:pPr>
            <w:r>
              <w:rPr>
                <w:rFonts w:ascii="Calibri" w:hAnsi="Calibri"/>
                <w:b/>
                <w:color w:val="0B1F33"/>
                <w:sz w:val="18"/>
              </w:rPr>
              <w:t>Reporting window</w:t>
            </w:r>
          </w:p>
        </w:tc>
        <w:tc>
          <w:tcPr>
            <w:tcW w:type="dxa" w:w="7560"/>
            <w:tcMar>
              <w:top w:w="80" w:type="dxa"/>
              <w:start w:w="120" w:type="dxa"/>
              <w:bottom w:w="80" w:type="dxa"/>
              <w:end w:w="120" w:type="dxa"/>
            </w:tcMar>
            <w:vAlign w:val="center"/>
          </w:tcPr>
          <w:p>
            <w:pPr>
              <w:spacing w:after="0"/>
            </w:pPr>
            <w:r>
              <w:rPr>
                <w:rFonts w:ascii="Calibri" w:hAnsi="Calibri"/>
                <w:color w:val="111111"/>
                <w:sz w:val="18"/>
              </w:rPr>
              <w:t>12 August 2026, 08:00 UTC – 13 August 2026, 08:00 UTC</w:t>
            </w:r>
          </w:p>
        </w:tc>
      </w:tr>
      <w:tr>
        <w:tc>
          <w:tcPr>
            <w:tcW w:type="dxa" w:w="1800"/>
            <w:shd w:fill="EAF1F7"/>
            <w:tcMar>
              <w:top w:w="80" w:type="dxa"/>
              <w:start w:w="120" w:type="dxa"/>
              <w:bottom w:w="80" w:type="dxa"/>
              <w:end w:w="120" w:type="dxa"/>
            </w:tcMar>
            <w:vAlign w:val="center"/>
          </w:tcPr>
          <w:p>
            <w:pPr>
              <w:spacing w:after="0"/>
            </w:pPr>
            <w:r>
              <w:rPr>
                <w:rFonts w:ascii="Calibri" w:hAnsi="Calibri"/>
                <w:b/>
                <w:color w:val="0B1F33"/>
                <w:sz w:val="18"/>
              </w:rPr>
              <w:t>Priority area</w:t>
            </w:r>
          </w:p>
        </w:tc>
        <w:tc>
          <w:tcPr>
            <w:tcW w:type="dxa" w:w="7560"/>
            <w:tcMar>
              <w:top w:w="80" w:type="dxa"/>
              <w:start w:w="120" w:type="dxa"/>
              <w:bottom w:w="80" w:type="dxa"/>
              <w:end w:w="120" w:type="dxa"/>
            </w:tcMar>
            <w:vAlign w:val="center"/>
          </w:tcPr>
          <w:p>
            <w:pPr>
              <w:spacing w:after="0"/>
            </w:pPr>
            <w:r>
              <w:rPr>
                <w:rFonts w:ascii="Calibri" w:hAnsi="Calibri"/>
                <w:color w:val="111111"/>
                <w:sz w:val="18"/>
              </w:rPr>
              <w:t>Mali, Burkina Faso, Niger, Mauritania and Chad</w:t>
            </w:r>
          </w:p>
        </w:tc>
      </w:tr>
      <w:tr>
        <w:tc>
          <w:tcPr>
            <w:tcW w:type="dxa" w:w="1800"/>
            <w:shd w:fill="EAF1F7"/>
            <w:tcMar>
              <w:top w:w="80" w:type="dxa"/>
              <w:start w:w="120" w:type="dxa"/>
              <w:bottom w:w="80" w:type="dxa"/>
              <w:end w:w="120" w:type="dxa"/>
            </w:tcMar>
            <w:vAlign w:val="center"/>
          </w:tcPr>
          <w:p>
            <w:pPr>
              <w:spacing w:after="0"/>
            </w:pPr>
            <w:r>
              <w:rPr>
                <w:rFonts w:ascii="Calibri" w:hAnsi="Calibri"/>
                <w:b/>
                <w:color w:val="0B1F33"/>
                <w:sz w:val="18"/>
              </w:rPr>
              <w:t>Handling</w:t>
            </w:r>
          </w:p>
        </w:tc>
        <w:tc>
          <w:tcPr>
            <w:tcW w:type="dxa" w:w="7560"/>
            <w:tcMar>
              <w:top w:w="80" w:type="dxa"/>
              <w:start w:w="120" w:type="dxa"/>
              <w:bottom w:w="80" w:type="dxa"/>
              <w:end w:w="120" w:type="dxa"/>
            </w:tcMar>
            <w:vAlign w:val="center"/>
          </w:tcPr>
          <w:p>
            <w:pPr>
              <w:spacing w:after="0"/>
            </w:pPr>
            <w:r>
              <w:rPr>
                <w:rFonts w:ascii="Calibri" w:hAnsi="Calibri"/>
                <w:color w:val="111111"/>
                <w:sz w:val="18"/>
              </w:rPr>
              <w:t>OPEN SOURCE | Analytical product | Routine distribution</w:t>
            </w:r>
          </w:p>
        </w:tc>
      </w:tr>
    </w:tbl>
    <w:p>
      <w:pPr>
        <w:pStyle w:val="Heading1"/>
      </w:pPr>
      <w:r>
        <w:t>Executive summary</w:t>
      </w:r>
    </w:p>
    <w:p>
      <w:pPr>
        <w:pStyle w:val="ListBullet"/>
        <w:keepLines/>
      </w:pPr>
      <w:r>
        <w:rPr>
          <w:rFonts w:ascii="Calibri" w:hAnsi="Calibri"/>
          <w:b/>
          <w:color w:val="0B1F33"/>
          <w:sz w:val="21"/>
        </w:rPr>
        <w:t xml:space="preserve">No verified strategic shift. </w:t>
      </w:r>
      <w:r>
        <w:rPr>
          <w:rFonts w:ascii="Calibri" w:hAnsi="Calibri"/>
          <w:color w:val="111111"/>
          <w:sz w:val="21"/>
        </w:rPr>
        <w:t>No independently verified, high-impact security, political or military development was identified in authoritative open sources during the 24-hour collection window across the five priority countries. This is a collection finding, not evidence of reduced violence.</w:t>
      </w:r>
    </w:p>
    <w:p>
      <w:pPr>
        <w:pStyle w:val="ListBullet"/>
        <w:keepLines/>
      </w:pPr>
      <w:r>
        <w:rPr>
          <w:rFonts w:ascii="Calibri" w:hAnsi="Calibri"/>
          <w:b/>
          <w:color w:val="0B1F33"/>
          <w:sz w:val="21"/>
        </w:rPr>
        <w:t xml:space="preserve">Mali remains the principal near-term concern. </w:t>
      </w:r>
      <w:r>
        <w:rPr>
          <w:rFonts w:ascii="Calibri" w:hAnsi="Calibri"/>
          <w:color w:val="111111"/>
          <w:sz w:val="21"/>
        </w:rPr>
        <w:t>No new authoritative reporting resolved earlier, unverified claims of significant fighting around San in the Ségou region. Casualty figures, video provenance and the tactical outcome remain unconfirmed and should not be used for operational planning.</w:t>
      </w:r>
    </w:p>
    <w:p>
      <w:pPr>
        <w:pStyle w:val="ListBullet"/>
        <w:keepLines/>
      </w:pPr>
      <w:r>
        <w:rPr>
          <w:rFonts w:ascii="Calibri" w:hAnsi="Calibri"/>
          <w:b/>
          <w:color w:val="0B1F33"/>
          <w:sz w:val="21"/>
        </w:rPr>
        <w:t xml:space="preserve">Niger's regional forum reached its scheduled close. </w:t>
      </w:r>
      <w:r>
        <w:rPr>
          <w:rFonts w:ascii="Calibri" w:hAnsi="Calibri"/>
          <w:color w:val="111111"/>
          <w:sz w:val="21"/>
        </w:rPr>
        <w:t>The third Youth Connekt Sahel forum was scheduled to end in Niamey on 12 August. The official announcement framed it around employment, entrepreneurship, innovation, peace and social stability; no authoritative closing communiqué was located by the cut-off.</w:t>
      </w:r>
    </w:p>
    <w:p>
      <w:pPr>
        <w:pStyle w:val="ListBullet"/>
        <w:keepLines/>
      </w:pPr>
      <w:r>
        <w:rPr>
          <w:rFonts w:ascii="Calibri" w:hAnsi="Calibri"/>
          <w:b/>
          <w:color w:val="0B1F33"/>
          <w:sz w:val="21"/>
        </w:rPr>
        <w:t xml:space="preserve">Information latency remains material. </w:t>
      </w:r>
      <w:r>
        <w:rPr>
          <w:rFonts w:ascii="Calibri" w:hAnsi="Calibri"/>
          <w:color w:val="111111"/>
          <w:sz w:val="21"/>
        </w:rPr>
        <w:t>Restricted media access, delayed official acknowledgement and armed-group propaganda continue to obscure incident timing and scale, particularly in central Mali and the tri-border theatre.</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F6F0E3"/>
            <w:tcMar>
              <w:top w:w="80" w:type="dxa"/>
              <w:start w:w="120" w:type="dxa"/>
              <w:bottom w:w="80" w:type="dxa"/>
              <w:end w:w="120" w:type="dxa"/>
            </w:tcMar>
            <w:vAlign w:val="center"/>
          </w:tcPr>
          <w:p>
            <w:pPr>
              <w:spacing w:after="0"/>
            </w:pPr>
            <w:r>
              <w:rPr>
                <w:rFonts w:ascii="Calibri" w:hAnsi="Calibri"/>
                <w:b/>
                <w:color w:val="B08D3C"/>
                <w:sz w:val="19"/>
              </w:rPr>
              <w:t xml:space="preserve">COLLECTION CAVEAT  </w:t>
            </w:r>
            <w:r>
              <w:rPr>
                <w:rFonts w:ascii="Calibri" w:hAnsi="Calibri"/>
                <w:color w:val="111111"/>
                <w:sz w:val="19"/>
              </w:rPr>
              <w:t>Open-source searches covered international wires, official and UN sources, and selected Francophone regional outlets. Limited fresh indexing and restricted media access reduce confidence in any claim that no incident occurred.</w:t>
            </w:r>
          </w:p>
        </w:tc>
      </w:tr>
    </w:tbl>
    <w:p>
      <w:pPr>
        <w:pStyle w:val="Heading1"/>
      </w:pPr>
      <w:r>
        <w:t>Priority-country overview</w:t>
      </w:r>
    </w:p>
    <w:tbl>
      <w:tblPr>
        <w:tblStyle w:val="TableGrid"/>
        <w:tblW w:type="dxa" w:w="9360"/>
        <w:jc w:val="left"/>
        <w:tblLayout w:type="fixed"/>
        <w:tblLook w:firstColumn="1" w:firstRow="1" w:lastColumn="0" w:lastRow="0" w:noHBand="0" w:noVBand="1" w:val="04A0"/>
        <w:tblInd w:w="120" w:type="dxa"/>
      </w:tblPr>
      <w:tblGrid>
        <w:gridCol w:w="1200"/>
        <w:gridCol w:w="2450"/>
        <w:gridCol w:w="1450"/>
        <w:gridCol w:w="4260"/>
      </w:tblGrid>
      <w:tr>
        <w:trPr>
          <w:tblHeader w:val="true"/>
        </w:trPr>
        <w:tc>
          <w:tcPr>
            <w:tcW w:type="dxa" w:w="1200"/>
            <w:shd w:fill="0B1F33"/>
            <w:tcMar>
              <w:top w:w="80" w:type="dxa"/>
              <w:start w:w="120" w:type="dxa"/>
              <w:bottom w:w="80" w:type="dxa"/>
              <w:end w:w="120" w:type="dxa"/>
            </w:tcMar>
            <w:vAlign w:val="center"/>
          </w:tcPr>
          <w:p>
            <w:pPr>
              <w:spacing w:after="0"/>
              <w:jc w:val="center"/>
            </w:pPr>
            <w:r>
              <w:rPr>
                <w:rFonts w:ascii="Calibri" w:hAnsi="Calibri"/>
                <w:b/>
                <w:color w:val="FFFFFF"/>
                <w:sz w:val="17"/>
              </w:rPr>
              <w:t>Country</w:t>
            </w:r>
          </w:p>
        </w:tc>
        <w:tc>
          <w:tcPr>
            <w:tcW w:type="dxa" w:w="2450"/>
            <w:shd w:fill="0B1F33"/>
            <w:tcMar>
              <w:top w:w="80" w:type="dxa"/>
              <w:start w:w="120" w:type="dxa"/>
              <w:bottom w:w="80" w:type="dxa"/>
              <w:end w:w="120" w:type="dxa"/>
            </w:tcMar>
            <w:vAlign w:val="center"/>
          </w:tcPr>
          <w:p>
            <w:pPr>
              <w:spacing w:after="0"/>
              <w:jc w:val="center"/>
            </w:pPr>
            <w:r>
              <w:rPr>
                <w:rFonts w:ascii="Calibri" w:hAnsi="Calibri"/>
                <w:b/>
                <w:color w:val="FFFFFF"/>
                <w:sz w:val="17"/>
              </w:rPr>
              <w:t>24h verified development</w:t>
            </w:r>
          </w:p>
        </w:tc>
        <w:tc>
          <w:tcPr>
            <w:tcW w:type="dxa" w:w="1450"/>
            <w:shd w:fill="0B1F33"/>
            <w:tcMar>
              <w:top w:w="80" w:type="dxa"/>
              <w:start w:w="120" w:type="dxa"/>
              <w:bottom w:w="80" w:type="dxa"/>
              <w:end w:w="120" w:type="dxa"/>
            </w:tcMar>
            <w:vAlign w:val="center"/>
          </w:tcPr>
          <w:p>
            <w:pPr>
              <w:spacing w:after="0"/>
              <w:jc w:val="center"/>
            </w:pPr>
            <w:r>
              <w:rPr>
                <w:rFonts w:ascii="Calibri" w:hAnsi="Calibri"/>
                <w:b/>
                <w:color w:val="FFFFFF"/>
                <w:sz w:val="17"/>
              </w:rPr>
              <w:t>Posture</w:t>
            </w:r>
          </w:p>
        </w:tc>
        <w:tc>
          <w:tcPr>
            <w:tcW w:type="dxa" w:w="4260"/>
            <w:shd w:fill="0B1F33"/>
            <w:tcMar>
              <w:top w:w="80" w:type="dxa"/>
              <w:start w:w="120" w:type="dxa"/>
              <w:bottom w:w="80" w:type="dxa"/>
              <w:end w:w="120" w:type="dxa"/>
            </w:tcMar>
            <w:vAlign w:val="center"/>
          </w:tcPr>
          <w:p>
            <w:pPr>
              <w:spacing w:after="0"/>
              <w:jc w:val="left"/>
            </w:pPr>
            <w:r>
              <w:rPr>
                <w:rFonts w:ascii="Calibri" w:hAnsi="Calibri"/>
                <w:b/>
                <w:color w:val="FFFFFF"/>
                <w:sz w:val="17"/>
              </w:rPr>
              <w:t>Assessment</w:t>
            </w:r>
          </w:p>
        </w:tc>
      </w:tr>
      <w:tr>
        <w:tc>
          <w:tcPr>
            <w:tcW w:type="dxa" w:w="1200"/>
            <w:tcMar>
              <w:top w:w="80" w:type="dxa"/>
              <w:start w:w="120" w:type="dxa"/>
              <w:bottom w:w="80" w:type="dxa"/>
              <w:end w:w="120" w:type="dxa"/>
            </w:tcMar>
            <w:vAlign w:val="center"/>
          </w:tcPr>
          <w:p>
            <w:pPr>
              <w:spacing w:after="0"/>
              <w:jc w:val="center"/>
            </w:pPr>
            <w:r>
              <w:rPr>
                <w:rFonts w:ascii="Calibri" w:hAnsi="Calibri"/>
                <w:b/>
                <w:color w:val="111111"/>
                <w:sz w:val="17"/>
              </w:rPr>
              <w:t>Mali</w:t>
            </w:r>
          </w:p>
        </w:tc>
        <w:tc>
          <w:tcPr>
            <w:tcW w:type="dxa" w:w="2450"/>
            <w:tcMar>
              <w:top w:w="80" w:type="dxa"/>
              <w:start w:w="120" w:type="dxa"/>
              <w:bottom w:w="80" w:type="dxa"/>
              <w:end w:w="120" w:type="dxa"/>
            </w:tcMar>
            <w:vAlign w:val="center"/>
          </w:tcPr>
          <w:p>
            <w:pPr>
              <w:spacing w:after="0"/>
              <w:jc w:val="left"/>
            </w:pPr>
            <w:r>
              <w:rPr>
                <w:rFonts w:ascii="Calibri" w:hAnsi="Calibri"/>
                <w:b w:val="0"/>
                <w:color w:val="111111"/>
                <w:sz w:val="17"/>
              </w:rPr>
              <w:t>No authoritative confirmation</w:t>
            </w:r>
          </w:p>
        </w:tc>
        <w:tc>
          <w:tcPr>
            <w:tcW w:type="dxa" w:w="1450"/>
            <w:shd w:fill="F6F0E3"/>
            <w:tcMar>
              <w:top w:w="80" w:type="dxa"/>
              <w:start w:w="120" w:type="dxa"/>
              <w:bottom w:w="80" w:type="dxa"/>
              <w:end w:w="120" w:type="dxa"/>
            </w:tcMar>
            <w:vAlign w:val="center"/>
          </w:tcPr>
          <w:p>
            <w:pPr>
              <w:spacing w:after="0"/>
              <w:jc w:val="center"/>
            </w:pPr>
            <w:r>
              <w:rPr>
                <w:rFonts w:ascii="Calibri" w:hAnsi="Calibri"/>
                <w:b/>
                <w:color w:val="9C2F2F"/>
                <w:sz w:val="17"/>
              </w:rPr>
              <w:t>ELEVATED</w:t>
            </w:r>
          </w:p>
        </w:tc>
        <w:tc>
          <w:tcPr>
            <w:tcW w:type="dxa" w:w="4260"/>
            <w:tcMar>
              <w:top w:w="80" w:type="dxa"/>
              <w:start w:w="120" w:type="dxa"/>
              <w:bottom w:w="80" w:type="dxa"/>
              <w:end w:w="120" w:type="dxa"/>
            </w:tcMar>
            <w:vAlign w:val="center"/>
          </w:tcPr>
          <w:p>
            <w:pPr>
              <w:spacing w:after="0"/>
              <w:jc w:val="left"/>
            </w:pPr>
            <w:r>
              <w:rPr>
                <w:rFonts w:ascii="Calibri" w:hAnsi="Calibri"/>
                <w:b w:val="0"/>
                <w:color w:val="111111"/>
                <w:sz w:val="17"/>
              </w:rPr>
              <w:t>Earlier San claims remain unresolved; follow-on activity is plausible.</w:t>
            </w:r>
          </w:p>
        </w:tc>
      </w:tr>
      <w:tr>
        <w:tc>
          <w:tcPr>
            <w:tcW w:type="dxa" w:w="1200"/>
            <w:tcMar>
              <w:top w:w="80" w:type="dxa"/>
              <w:start w:w="120" w:type="dxa"/>
              <w:bottom w:w="80" w:type="dxa"/>
              <w:end w:w="120" w:type="dxa"/>
            </w:tcMar>
            <w:vAlign w:val="center"/>
          </w:tcPr>
          <w:p>
            <w:pPr>
              <w:spacing w:after="0"/>
              <w:jc w:val="center"/>
            </w:pPr>
            <w:r>
              <w:rPr>
                <w:rFonts w:ascii="Calibri" w:hAnsi="Calibri"/>
                <w:b/>
                <w:color w:val="111111"/>
                <w:sz w:val="17"/>
              </w:rPr>
              <w:t>Burkina Faso</w:t>
            </w:r>
          </w:p>
        </w:tc>
        <w:tc>
          <w:tcPr>
            <w:tcW w:type="dxa" w:w="2450"/>
            <w:tcMar>
              <w:top w:w="80" w:type="dxa"/>
              <w:start w:w="120" w:type="dxa"/>
              <w:bottom w:w="80" w:type="dxa"/>
              <w:end w:w="120" w:type="dxa"/>
            </w:tcMar>
            <w:vAlign w:val="center"/>
          </w:tcPr>
          <w:p>
            <w:pPr>
              <w:spacing w:after="0"/>
              <w:jc w:val="left"/>
            </w:pPr>
            <w:r>
              <w:rPr>
                <w:rFonts w:ascii="Calibri" w:hAnsi="Calibri"/>
                <w:b w:val="0"/>
                <w:color w:val="111111"/>
                <w:sz w:val="17"/>
              </w:rPr>
              <w:t>None identified</w:t>
            </w:r>
          </w:p>
        </w:tc>
        <w:tc>
          <w:tcPr>
            <w:tcW w:type="dxa" w:w="1450"/>
            <w:shd w:fill="F2F4F7"/>
            <w:tcMar>
              <w:top w:w="80" w:type="dxa"/>
              <w:start w:w="120" w:type="dxa"/>
              <w:bottom w:w="80" w:type="dxa"/>
              <w:end w:w="120" w:type="dxa"/>
            </w:tcMar>
            <w:vAlign w:val="center"/>
          </w:tcPr>
          <w:p>
            <w:pPr>
              <w:spacing w:after="0"/>
              <w:jc w:val="center"/>
            </w:pPr>
            <w:r>
              <w:rPr>
                <w:rFonts w:ascii="Calibri" w:hAnsi="Calibri"/>
                <w:b/>
                <w:color w:val="111111"/>
                <w:sz w:val="17"/>
              </w:rPr>
              <w:t>WATCH</w:t>
            </w:r>
          </w:p>
        </w:tc>
        <w:tc>
          <w:tcPr>
            <w:tcW w:type="dxa" w:w="4260"/>
            <w:tcMar>
              <w:top w:w="80" w:type="dxa"/>
              <w:start w:w="120" w:type="dxa"/>
              <w:bottom w:w="80" w:type="dxa"/>
              <w:end w:w="120" w:type="dxa"/>
            </w:tcMar>
            <w:vAlign w:val="center"/>
          </w:tcPr>
          <w:p>
            <w:pPr>
              <w:spacing w:after="0"/>
              <w:jc w:val="left"/>
            </w:pPr>
            <w:r>
              <w:rPr>
                <w:rFonts w:ascii="Calibri" w:hAnsi="Calibri"/>
                <w:b w:val="0"/>
                <w:color w:val="111111"/>
                <w:sz w:val="17"/>
              </w:rPr>
              <w:t>No fresh source-backed change; threat baseline remains severe.</w:t>
            </w:r>
          </w:p>
        </w:tc>
      </w:tr>
      <w:tr>
        <w:tc>
          <w:tcPr>
            <w:tcW w:type="dxa" w:w="1200"/>
            <w:tcMar>
              <w:top w:w="80" w:type="dxa"/>
              <w:start w:w="120" w:type="dxa"/>
              <w:bottom w:w="80" w:type="dxa"/>
              <w:end w:w="120" w:type="dxa"/>
            </w:tcMar>
            <w:vAlign w:val="center"/>
          </w:tcPr>
          <w:p>
            <w:pPr>
              <w:spacing w:after="0"/>
              <w:jc w:val="center"/>
            </w:pPr>
            <w:r>
              <w:rPr>
                <w:rFonts w:ascii="Calibri" w:hAnsi="Calibri"/>
                <w:b/>
                <w:color w:val="111111"/>
                <w:sz w:val="17"/>
              </w:rPr>
              <w:t>Niger</w:t>
            </w:r>
          </w:p>
        </w:tc>
        <w:tc>
          <w:tcPr>
            <w:tcW w:type="dxa" w:w="2450"/>
            <w:tcMar>
              <w:top w:w="80" w:type="dxa"/>
              <w:start w:w="120" w:type="dxa"/>
              <w:bottom w:w="80" w:type="dxa"/>
              <w:end w:w="120" w:type="dxa"/>
            </w:tcMar>
            <w:vAlign w:val="center"/>
          </w:tcPr>
          <w:p>
            <w:pPr>
              <w:spacing w:after="0"/>
              <w:jc w:val="left"/>
            </w:pPr>
            <w:r>
              <w:rPr>
                <w:rFonts w:ascii="Calibri" w:hAnsi="Calibri"/>
                <w:b w:val="0"/>
                <w:color w:val="111111"/>
                <w:sz w:val="17"/>
              </w:rPr>
              <w:t>Forum scheduled to close</w:t>
            </w:r>
          </w:p>
        </w:tc>
        <w:tc>
          <w:tcPr>
            <w:tcW w:type="dxa" w:w="1450"/>
            <w:shd w:fill="F2F4F7"/>
            <w:tcMar>
              <w:top w:w="80" w:type="dxa"/>
              <w:start w:w="120" w:type="dxa"/>
              <w:bottom w:w="80" w:type="dxa"/>
              <w:end w:w="120" w:type="dxa"/>
            </w:tcMar>
            <w:vAlign w:val="center"/>
          </w:tcPr>
          <w:p>
            <w:pPr>
              <w:spacing w:after="0"/>
              <w:jc w:val="center"/>
            </w:pPr>
            <w:r>
              <w:rPr>
                <w:rFonts w:ascii="Calibri" w:hAnsi="Calibri"/>
                <w:b/>
                <w:color w:val="111111"/>
                <w:sz w:val="17"/>
              </w:rPr>
              <w:t>WATCH</w:t>
            </w:r>
          </w:p>
        </w:tc>
        <w:tc>
          <w:tcPr>
            <w:tcW w:type="dxa" w:w="4260"/>
            <w:tcMar>
              <w:top w:w="80" w:type="dxa"/>
              <w:start w:w="120" w:type="dxa"/>
              <w:bottom w:w="80" w:type="dxa"/>
              <w:end w:w="120" w:type="dxa"/>
            </w:tcMar>
            <w:vAlign w:val="center"/>
          </w:tcPr>
          <w:p>
            <w:pPr>
              <w:spacing w:after="0"/>
              <w:jc w:val="left"/>
            </w:pPr>
            <w:r>
              <w:rPr>
                <w:rFonts w:ascii="Calibri" w:hAnsi="Calibri"/>
                <w:b w:val="0"/>
                <w:color w:val="111111"/>
                <w:sz w:val="17"/>
              </w:rPr>
              <w:t>No closing communiqué or verified kinetic change located.</w:t>
            </w:r>
          </w:p>
        </w:tc>
      </w:tr>
      <w:tr>
        <w:tc>
          <w:tcPr>
            <w:tcW w:type="dxa" w:w="1200"/>
            <w:tcMar>
              <w:top w:w="80" w:type="dxa"/>
              <w:start w:w="120" w:type="dxa"/>
              <w:bottom w:w="80" w:type="dxa"/>
              <w:end w:w="120" w:type="dxa"/>
            </w:tcMar>
            <w:vAlign w:val="center"/>
          </w:tcPr>
          <w:p>
            <w:pPr>
              <w:spacing w:after="0"/>
              <w:jc w:val="center"/>
            </w:pPr>
            <w:r>
              <w:rPr>
                <w:rFonts w:ascii="Calibri" w:hAnsi="Calibri"/>
                <w:b/>
                <w:color w:val="111111"/>
                <w:sz w:val="17"/>
              </w:rPr>
              <w:t>Mauritania</w:t>
            </w:r>
          </w:p>
        </w:tc>
        <w:tc>
          <w:tcPr>
            <w:tcW w:type="dxa" w:w="2450"/>
            <w:tcMar>
              <w:top w:w="80" w:type="dxa"/>
              <w:start w:w="120" w:type="dxa"/>
              <w:bottom w:w="80" w:type="dxa"/>
              <w:end w:w="120" w:type="dxa"/>
            </w:tcMar>
            <w:vAlign w:val="center"/>
          </w:tcPr>
          <w:p>
            <w:pPr>
              <w:spacing w:after="0"/>
              <w:jc w:val="left"/>
            </w:pPr>
            <w:r>
              <w:rPr>
                <w:rFonts w:ascii="Calibri" w:hAnsi="Calibri"/>
                <w:b w:val="0"/>
                <w:color w:val="111111"/>
                <w:sz w:val="17"/>
              </w:rPr>
              <w:t>None identified</w:t>
            </w:r>
          </w:p>
        </w:tc>
        <w:tc>
          <w:tcPr>
            <w:tcW w:type="dxa" w:w="1450"/>
            <w:shd w:fill="F2F4F7"/>
            <w:tcMar>
              <w:top w:w="80" w:type="dxa"/>
              <w:start w:w="120" w:type="dxa"/>
              <w:bottom w:w="80" w:type="dxa"/>
              <w:end w:w="120" w:type="dxa"/>
            </w:tcMar>
            <w:vAlign w:val="center"/>
          </w:tcPr>
          <w:p>
            <w:pPr>
              <w:spacing w:after="0"/>
              <w:jc w:val="center"/>
            </w:pPr>
            <w:r>
              <w:rPr>
                <w:rFonts w:ascii="Calibri" w:hAnsi="Calibri"/>
                <w:b/>
                <w:color w:val="111111"/>
                <w:sz w:val="17"/>
              </w:rPr>
              <w:t>STABLE / WATCH</w:t>
            </w:r>
          </w:p>
        </w:tc>
        <w:tc>
          <w:tcPr>
            <w:tcW w:type="dxa" w:w="4260"/>
            <w:tcMar>
              <w:top w:w="80" w:type="dxa"/>
              <w:start w:w="120" w:type="dxa"/>
              <w:bottom w:w="80" w:type="dxa"/>
              <w:end w:w="120" w:type="dxa"/>
            </w:tcMar>
            <w:vAlign w:val="center"/>
          </w:tcPr>
          <w:p>
            <w:pPr>
              <w:spacing w:after="0"/>
              <w:jc w:val="left"/>
            </w:pPr>
            <w:r>
              <w:rPr>
                <w:rFonts w:ascii="Calibri" w:hAnsi="Calibri"/>
                <w:b w:val="0"/>
                <w:color w:val="111111"/>
                <w:sz w:val="17"/>
              </w:rPr>
              <w:t>No fresh source-backed change in the collection window.</w:t>
            </w:r>
          </w:p>
        </w:tc>
      </w:tr>
      <w:tr>
        <w:tc>
          <w:tcPr>
            <w:tcW w:type="dxa" w:w="1200"/>
            <w:tcMar>
              <w:top w:w="80" w:type="dxa"/>
              <w:start w:w="120" w:type="dxa"/>
              <w:bottom w:w="80" w:type="dxa"/>
              <w:end w:w="120" w:type="dxa"/>
            </w:tcMar>
            <w:vAlign w:val="center"/>
          </w:tcPr>
          <w:p>
            <w:pPr>
              <w:spacing w:after="0"/>
              <w:jc w:val="center"/>
            </w:pPr>
            <w:r>
              <w:rPr>
                <w:rFonts w:ascii="Calibri" w:hAnsi="Calibri"/>
                <w:b/>
                <w:color w:val="111111"/>
                <w:sz w:val="17"/>
              </w:rPr>
              <w:t>Chad</w:t>
            </w:r>
          </w:p>
        </w:tc>
        <w:tc>
          <w:tcPr>
            <w:tcW w:type="dxa" w:w="2450"/>
            <w:tcMar>
              <w:top w:w="80" w:type="dxa"/>
              <w:start w:w="120" w:type="dxa"/>
              <w:bottom w:w="80" w:type="dxa"/>
              <w:end w:w="120" w:type="dxa"/>
            </w:tcMar>
            <w:vAlign w:val="center"/>
          </w:tcPr>
          <w:p>
            <w:pPr>
              <w:spacing w:after="0"/>
              <w:jc w:val="left"/>
            </w:pPr>
            <w:r>
              <w:rPr>
                <w:rFonts w:ascii="Calibri" w:hAnsi="Calibri"/>
                <w:b w:val="0"/>
                <w:color w:val="111111"/>
                <w:sz w:val="17"/>
              </w:rPr>
              <w:t>None identified</w:t>
            </w:r>
          </w:p>
        </w:tc>
        <w:tc>
          <w:tcPr>
            <w:tcW w:type="dxa" w:w="1450"/>
            <w:shd w:fill="F2F4F7"/>
            <w:tcMar>
              <w:top w:w="80" w:type="dxa"/>
              <w:start w:w="120" w:type="dxa"/>
              <w:bottom w:w="80" w:type="dxa"/>
              <w:end w:w="120" w:type="dxa"/>
            </w:tcMar>
            <w:vAlign w:val="center"/>
          </w:tcPr>
          <w:p>
            <w:pPr>
              <w:spacing w:after="0"/>
              <w:jc w:val="center"/>
            </w:pPr>
            <w:r>
              <w:rPr>
                <w:rFonts w:ascii="Calibri" w:hAnsi="Calibri"/>
                <w:b/>
                <w:color w:val="111111"/>
                <w:sz w:val="17"/>
              </w:rPr>
              <w:t>WATCH</w:t>
            </w:r>
          </w:p>
        </w:tc>
        <w:tc>
          <w:tcPr>
            <w:tcW w:type="dxa" w:w="4260"/>
            <w:tcMar>
              <w:top w:w="80" w:type="dxa"/>
              <w:start w:w="120" w:type="dxa"/>
              <w:bottom w:w="80" w:type="dxa"/>
              <w:end w:w="120" w:type="dxa"/>
            </w:tcMar>
            <w:vAlign w:val="center"/>
          </w:tcPr>
          <w:p>
            <w:pPr>
              <w:spacing w:after="0"/>
              <w:jc w:val="left"/>
            </w:pPr>
            <w:r>
              <w:rPr>
                <w:rFonts w:ascii="Calibri" w:hAnsi="Calibri"/>
                <w:b w:val="0"/>
                <w:color w:val="111111"/>
                <w:sz w:val="17"/>
              </w:rPr>
              <w:t>No verified security shift; humanitarian pressure persists.</w:t>
            </w:r>
          </w:p>
        </w:tc>
      </w:tr>
    </w:tbl>
    <w:p>
      <w:pPr>
        <w:keepNext/>
        <w:pageBreakBefore/>
        <w:tabs>
          <w:tab w:pos="7920" w:val="left"/>
        </w:tabs>
        <w:spacing w:before="0" w:after="160" w:line="240" w:lineRule="auto"/>
        <w:pBdr>
          <w:bottom w:val="single" w:sz="8" w:space="1" w:color="B08D3C"/>
        </w:pBdr>
      </w:pPr>
      <w:r>
        <w:rPr>
          <w:rFonts w:ascii="Calibri" w:hAnsi="Calibri"/>
          <w:b/>
          <w:color w:val="0B1F33"/>
          <w:sz w:val="17"/>
        </w:rPr>
        <w:t>I4S.CONSULTING  |  DAILY INTELLIGENCE</w:t>
      </w:r>
      <w:r>
        <w:rPr>
          <w:rFonts w:ascii="Calibri" w:hAnsi="Calibri"/>
          <w:b/>
          <w:color w:val="B08D3C"/>
          <w:sz w:val="17"/>
        </w:rPr>
        <w:tab/>
        <w:t>OPEN SOURCE</w:t>
      </w:r>
    </w:p>
    <w:p>
      <w:pPr>
        <w:pStyle w:val="Heading1"/>
      </w:pPr>
      <w:r>
        <w:t>Developments by country and theme</w:t>
      </w:r>
    </w:p>
    <w:p>
      <w:pPr>
        <w:pStyle w:val="Heading2"/>
      </w:pPr>
      <w:r>
        <w:t>Mali</w:t>
      </w:r>
      <w:r>
        <w:rPr>
          <w:rFonts w:ascii="Calibri" w:hAnsi="Calibri"/>
          <w:b/>
          <w:color w:val="9C2F2F"/>
          <w:sz w:val="20"/>
        </w:rPr>
        <w:t xml:space="preserve">  |  ELEVATED MONITORING</w:t>
      </w:r>
    </w:p>
    <w:p>
      <w:pPr>
        <w:keepLines/>
      </w:pPr>
      <w:r>
        <w:t>No authoritative source located during the reporting window confirmed casualty totals, territorial change or a completed FAMa counter-operation linked to earlier claims of fighting around San. The claims and associated imagery remain unverified. The absence of fresh confirmation lowers confidence in specific loss estimates but does not rule out a material clash.</w:t>
      </w:r>
    </w:p>
    <w:p>
      <w:pPr>
        <w:spacing w:after="100"/>
      </w:pPr>
      <w:r>
        <w:rPr>
          <w:rFonts w:ascii="Calibri" w:hAnsi="Calibri"/>
          <w:b/>
          <w:color w:val="667788"/>
          <w:sz w:val="18"/>
        </w:rPr>
        <w:t xml:space="preserve">Confidence: </w:t>
      </w:r>
      <w:r>
        <w:rPr>
          <w:rFonts w:ascii="Calibri" w:hAnsi="Calibri"/>
          <w:i/>
          <w:color w:val="667788"/>
          <w:sz w:val="18"/>
        </w:rPr>
        <w:t>LOW on casualty figures and tactical outcome; LOW-to-MEDIUM that the available claims describe a single, accurately dated event.</w:t>
      </w:r>
    </w:p>
    <w:p>
      <w:pPr>
        <w:pStyle w:val="ListBullet"/>
        <w:keepLines/>
      </w:pPr>
      <w:r>
        <w:rPr>
          <w:rFonts w:ascii="Calibri" w:hAnsi="Calibri"/>
          <w:b/>
          <w:color w:val="0B1F33"/>
          <w:sz w:val="21"/>
        </w:rPr>
        <w:t xml:space="preserve">Analytical relevance. </w:t>
      </w:r>
      <w:r>
        <w:rPr>
          <w:rFonts w:ascii="Calibri" w:hAnsi="Calibri"/>
          <w:color w:val="111111"/>
          <w:sz w:val="21"/>
        </w:rPr>
        <w:t>If corroborated, a significant San engagement would reinforce the assessment that JNIM can pressure exposed FAMa positions in central Mali while sustaining activity on northern axes.</w:t>
      </w:r>
    </w:p>
    <w:p>
      <w:pPr>
        <w:pStyle w:val="ListBullet"/>
        <w:keepLines/>
      </w:pPr>
      <w:r>
        <w:rPr>
          <w:rFonts w:ascii="Calibri" w:hAnsi="Calibri"/>
          <w:b/>
          <w:color w:val="0B1F33"/>
          <w:sz w:val="21"/>
        </w:rPr>
        <w:t xml:space="preserve">Immediate requirement. </w:t>
      </w:r>
      <w:r>
        <w:rPr>
          <w:rFonts w:ascii="Calibri" w:hAnsi="Calibri"/>
          <w:color w:val="111111"/>
          <w:sz w:val="21"/>
        </w:rPr>
        <w:t>Prioritise official FAMa/DIRPA statements, geolocation of released footage, local hospital or funeral reporting, and evidence of reinforcement or air activity around San.</w:t>
      </w:r>
    </w:p>
    <w:p>
      <w:pPr>
        <w:pStyle w:val="Heading2"/>
      </w:pPr>
      <w:r>
        <w:t>Burkina Faso</w:t>
      </w:r>
      <w:r>
        <w:rPr>
          <w:rFonts w:ascii="Calibri" w:hAnsi="Calibri"/>
          <w:b/>
          <w:color w:val="667788"/>
          <w:sz w:val="20"/>
        </w:rPr>
        <w:t xml:space="preserve">  |  NO VERIFIED CHANGE</w:t>
      </w:r>
    </w:p>
    <w:p>
      <w:pPr>
        <w:keepLines/>
      </w:pPr>
      <w:r>
        <w:t>No authoritative, newly published report of a major security, political or humanitarian development was identified during the collection window. Given restricted reporting and persistent militant activity, this is a collection gap rather than evidence of reduced threat.</w:t>
      </w:r>
    </w:p>
    <w:p>
      <w:pPr>
        <w:spacing w:after="100"/>
      </w:pPr>
      <w:r>
        <w:rPr>
          <w:rFonts w:ascii="Calibri" w:hAnsi="Calibri"/>
          <w:b/>
          <w:color w:val="667788"/>
          <w:sz w:val="18"/>
        </w:rPr>
        <w:t xml:space="preserve">Confidence: </w:t>
      </w:r>
      <w:r>
        <w:rPr>
          <w:rFonts w:ascii="Calibri" w:hAnsi="Calibri"/>
          <w:i/>
          <w:color w:val="667788"/>
          <w:sz w:val="18"/>
        </w:rPr>
        <w:t>MEDIUM on the collection result; LOW on the absence of incidents.</w:t>
      </w:r>
    </w:p>
    <w:p>
      <w:pPr>
        <w:pStyle w:val="Heading2"/>
      </w:pPr>
      <w:r>
        <w:t>Niger</w:t>
      </w:r>
      <w:r>
        <w:rPr>
          <w:rFonts w:ascii="Calibri" w:hAnsi="Calibri"/>
          <w:b/>
          <w:color w:val="2E74B5"/>
          <w:sz w:val="20"/>
        </w:rPr>
        <w:t xml:space="preserve">  |  REGIONAL ENGAGEMENT</w:t>
      </w:r>
    </w:p>
    <w:p>
      <w:pPr>
        <w:keepLines/>
      </w:pPr>
      <w:r>
        <w:t>The third Youth Connekt Sahel forum was scheduled to close in Niamey on 12 August. The official pre-event notice framed the gathering around employment, entrepreneurship, innovation, peace and social stability. No authoritative closing communiqué or concrete security-policy output was located by the cut-off.</w:t>
      </w:r>
    </w:p>
    <w:p>
      <w:pPr>
        <w:spacing w:after="100"/>
      </w:pPr>
      <w:r>
        <w:rPr>
          <w:rFonts w:ascii="Calibri" w:hAnsi="Calibri"/>
          <w:b/>
          <w:color w:val="667788"/>
          <w:sz w:val="18"/>
        </w:rPr>
        <w:t xml:space="preserve">Confidence: </w:t>
      </w:r>
      <w:r>
        <w:rPr>
          <w:rFonts w:ascii="Calibri" w:hAnsi="Calibri"/>
          <w:i/>
          <w:color w:val="667788"/>
          <w:sz w:val="18"/>
        </w:rPr>
        <w:t>HIGH on the official schedule; LOW-to-MEDIUM on outcomes until a closing record is published.</w:t>
      </w:r>
    </w:p>
    <w:p>
      <w:pPr>
        <w:pStyle w:val="Heading2"/>
      </w:pPr>
      <w:r>
        <w:t>Mauritania</w:t>
      </w:r>
      <w:r>
        <w:rPr>
          <w:rFonts w:ascii="Calibri" w:hAnsi="Calibri"/>
          <w:b/>
          <w:color w:val="667788"/>
          <w:sz w:val="20"/>
        </w:rPr>
        <w:t xml:space="preserve">  |  NO VERIFIED CHANGE</w:t>
      </w:r>
    </w:p>
    <w:p>
      <w:pPr>
        <w:keepLines/>
      </w:pPr>
      <w:r>
        <w:t>No significant source-backed security or political update was identified. Mauritania remains important as Mali's western neighbour and as a transit, displacement and diplomatic interface, but no material shift was verified.</w:t>
      </w:r>
    </w:p>
    <w:p>
      <w:pPr>
        <w:spacing w:after="100"/>
      </w:pPr>
      <w:r>
        <w:rPr>
          <w:rFonts w:ascii="Calibri" w:hAnsi="Calibri"/>
          <w:b/>
          <w:color w:val="667788"/>
          <w:sz w:val="18"/>
        </w:rPr>
        <w:t xml:space="preserve">Confidence: </w:t>
      </w:r>
      <w:r>
        <w:rPr>
          <w:rFonts w:ascii="Calibri" w:hAnsi="Calibri"/>
          <w:i/>
          <w:color w:val="667788"/>
          <w:sz w:val="18"/>
        </w:rPr>
        <w:t>MEDIUM on the collection result.</w:t>
      </w:r>
    </w:p>
    <w:p>
      <w:pPr>
        <w:pStyle w:val="Heading2"/>
      </w:pPr>
      <w:r>
        <w:t>Chad</w:t>
      </w:r>
      <w:r>
        <w:rPr>
          <w:rFonts w:ascii="Calibri" w:hAnsi="Calibri"/>
          <w:b/>
          <w:color w:val="2E74B5"/>
          <w:sz w:val="20"/>
        </w:rPr>
        <w:t xml:space="preserve">  |  HUMANITARIAN PRESSURE</w:t>
      </w:r>
    </w:p>
    <w:p>
      <w:pPr>
        <w:keepLines/>
      </w:pPr>
      <w:r>
        <w:t>No significant source-backed security or political update was identified. The strategic background remains pressure from the Sudan conflict and a severely underfunded humanitarian response. This baseline is included only to frame persistent eastern-border and displacement risk, not as a new 24-hour development.</w:t>
      </w:r>
    </w:p>
    <w:p>
      <w:pPr>
        <w:spacing w:after="100"/>
      </w:pPr>
      <w:r>
        <w:rPr>
          <w:rFonts w:ascii="Calibri" w:hAnsi="Calibri"/>
          <w:b/>
          <w:color w:val="667788"/>
          <w:sz w:val="18"/>
        </w:rPr>
        <w:t xml:space="preserve">Confidence: </w:t>
      </w:r>
      <w:r>
        <w:rPr>
          <w:rFonts w:ascii="Calibri" w:hAnsi="Calibri"/>
          <w:i/>
          <w:color w:val="667788"/>
          <w:sz w:val="18"/>
        </w:rPr>
        <w:t>HIGH on the humanitarian baseline; MEDIUM on the collection result.</w:t>
      </w:r>
    </w:p>
    <w:p>
      <w:pPr>
        <w:keepNext/>
        <w:pageBreakBefore/>
        <w:tabs>
          <w:tab w:pos="7920" w:val="left"/>
        </w:tabs>
        <w:spacing w:before="0" w:after="160" w:line="240" w:lineRule="auto"/>
        <w:pBdr>
          <w:bottom w:val="single" w:sz="8" w:space="1" w:color="B08D3C"/>
        </w:pBdr>
      </w:pPr>
      <w:r>
        <w:rPr>
          <w:rFonts w:ascii="Calibri" w:hAnsi="Calibri"/>
          <w:b/>
          <w:color w:val="0B1F33"/>
          <w:sz w:val="17"/>
        </w:rPr>
        <w:t>I4S.CONSULTING  |  DAILY INTELLIGENCE</w:t>
      </w:r>
      <w:r>
        <w:rPr>
          <w:rFonts w:ascii="Calibri" w:hAnsi="Calibri"/>
          <w:b/>
          <w:color w:val="B08D3C"/>
          <w:sz w:val="17"/>
        </w:rPr>
        <w:tab/>
        <w:t>OPEN SOURCE</w:t>
      </w:r>
    </w:p>
    <w:p>
      <w:pPr>
        <w:pStyle w:val="Heading1"/>
      </w:pPr>
      <w:r>
        <w:t>Regional assessment</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EAF1F7"/>
            <w:tcMar>
              <w:top w:w="80" w:type="dxa"/>
              <w:start w:w="120" w:type="dxa"/>
              <w:bottom w:w="80" w:type="dxa"/>
              <w:end w:w="120" w:type="dxa"/>
            </w:tcMar>
            <w:vAlign w:val="center"/>
          </w:tcPr>
          <w:p>
            <w:pPr>
              <w:spacing w:after="0"/>
            </w:pPr>
            <w:r>
              <w:rPr>
                <w:rFonts w:ascii="Calibri" w:hAnsi="Calibri"/>
                <w:b/>
                <w:color w:val="2E74B5"/>
                <w:sz w:val="19"/>
              </w:rPr>
              <w:t xml:space="preserve">KEY JUDGEMENT  </w:t>
            </w:r>
            <w:r>
              <w:rPr>
                <w:rFonts w:ascii="Calibri" w:hAnsi="Calibri"/>
                <w:color w:val="111111"/>
                <w:sz w:val="19"/>
              </w:rPr>
              <w:t>The most consequential near-term risk is delayed confirmation of a substantial FAMa setback in central Mali. A verified high casualty count or territorial loss around San would strengthen evidence that JNIM can distribute pressure across multiple theatres while exploiting information gaps.</w:t>
            </w:r>
          </w:p>
        </w:tc>
      </w:tr>
    </w:tbl>
    <w:p>
      <w:pPr>
        <w:pStyle w:val="ListBullet"/>
        <w:keepLines/>
      </w:pPr>
      <w:r>
        <w:rPr>
          <w:rFonts w:ascii="Calibri" w:hAnsi="Calibri"/>
          <w:b/>
          <w:color w:val="0B1F33"/>
          <w:sz w:val="21"/>
        </w:rPr>
        <w:t xml:space="preserve">Information warfare. </w:t>
      </w:r>
      <w:r>
        <w:rPr>
          <w:rFonts w:ascii="Calibri" w:hAnsi="Calibri"/>
          <w:color w:val="111111"/>
          <w:sz w:val="21"/>
        </w:rPr>
        <w:t>Militant imagery and casualty claims can generate effects before verification; official silence can amplify those effects. Both sides have incentives to manipulate loss reporting.</w:t>
      </w:r>
    </w:p>
    <w:p>
      <w:pPr>
        <w:pStyle w:val="ListBullet"/>
        <w:keepLines/>
      </w:pPr>
      <w:r>
        <w:rPr>
          <w:rFonts w:ascii="Calibri" w:hAnsi="Calibri"/>
          <w:b/>
          <w:color w:val="0B1F33"/>
          <w:sz w:val="21"/>
        </w:rPr>
        <w:t xml:space="preserve">Operational tempo. </w:t>
      </w:r>
      <w:r>
        <w:rPr>
          <w:rFonts w:ascii="Calibri" w:hAnsi="Calibri"/>
          <w:color w:val="111111"/>
          <w:sz w:val="21"/>
        </w:rPr>
        <w:t>Recent northern ambushes and reported central-Mali fighting suggest that militant pressure may be distributed across distant axes, complicating reinforcement and force protection.</w:t>
      </w:r>
    </w:p>
    <w:p>
      <w:pPr>
        <w:pStyle w:val="ListBullet"/>
        <w:keepLines/>
      </w:pPr>
      <w:r>
        <w:rPr>
          <w:rFonts w:ascii="Calibri" w:hAnsi="Calibri"/>
          <w:b/>
          <w:color w:val="0B1F33"/>
          <w:sz w:val="21"/>
        </w:rPr>
        <w:t xml:space="preserve">Regional governance. </w:t>
      </w:r>
      <w:r>
        <w:rPr>
          <w:rFonts w:ascii="Calibri" w:hAnsi="Calibri"/>
          <w:color w:val="111111"/>
          <w:sz w:val="21"/>
        </w:rPr>
        <w:t>The Niamey forum demonstrates continued investment in resilience narratives, but no verified closing output yet changes the immediate security picture.</w:t>
      </w:r>
    </w:p>
    <w:p>
      <w:pPr>
        <w:pStyle w:val="ListBullet"/>
        <w:keepLines/>
      </w:pPr>
      <w:r>
        <w:rPr>
          <w:rFonts w:ascii="Calibri" w:hAnsi="Calibri"/>
          <w:b/>
          <w:color w:val="0B1F33"/>
          <w:sz w:val="21"/>
        </w:rPr>
        <w:t xml:space="preserve">Humanitarian exposure. </w:t>
      </w:r>
      <w:r>
        <w:rPr>
          <w:rFonts w:ascii="Calibri" w:hAnsi="Calibri"/>
          <w:color w:val="111111"/>
          <w:sz w:val="21"/>
        </w:rPr>
        <w:t>The lean season, displacement and access constraints remain force multipliers for instability; worsening transport disruption or flooding would reduce response capacity even without a single headline event.</w:t>
      </w:r>
    </w:p>
    <w:p>
      <w:pPr>
        <w:pStyle w:val="Heading1"/>
      </w:pPr>
      <w:r>
        <w:t>Indicators to watch — next 24–72 hours</w:t>
      </w:r>
    </w:p>
    <w:p>
      <w:pPr>
        <w:pStyle w:val="ListBullet"/>
        <w:keepLines/>
      </w:pPr>
      <w:r>
        <w:rPr>
          <w:rFonts w:ascii="Calibri" w:hAnsi="Calibri"/>
          <w:b/>
          <w:color w:val="0B1F33"/>
          <w:sz w:val="21"/>
        </w:rPr>
        <w:t xml:space="preserve">San / Ségou confirmation. </w:t>
      </w:r>
      <w:r>
        <w:rPr>
          <w:rFonts w:ascii="Calibri" w:hAnsi="Calibri"/>
          <w:color w:val="111111"/>
          <w:sz w:val="21"/>
        </w:rPr>
        <w:t>FAMa or DIRPA casualty statement; evidence of funerals, medical evacuation, reinforcement or counter-strikes.</w:t>
      </w:r>
    </w:p>
    <w:p>
      <w:pPr>
        <w:pStyle w:val="ListBullet"/>
        <w:keepLines/>
      </w:pPr>
      <w:r>
        <w:rPr>
          <w:rFonts w:ascii="Calibri" w:hAnsi="Calibri"/>
          <w:b/>
          <w:color w:val="0B1F33"/>
          <w:sz w:val="21"/>
        </w:rPr>
        <w:t xml:space="preserve">Militant media. </w:t>
      </w:r>
      <w:r>
        <w:rPr>
          <w:rFonts w:ascii="Calibri" w:hAnsi="Calibri"/>
          <w:color w:val="111111"/>
          <w:sz w:val="21"/>
        </w:rPr>
        <w:t>New JNIM/Katiba Macina communiqués, dated footage, prisoner displays or captured matériel that can be geolocated.</w:t>
      </w:r>
    </w:p>
    <w:p>
      <w:pPr>
        <w:pStyle w:val="ListBullet"/>
        <w:keepLines/>
      </w:pPr>
      <w:r>
        <w:rPr>
          <w:rFonts w:ascii="Calibri" w:hAnsi="Calibri"/>
          <w:b/>
          <w:color w:val="0B1F33"/>
          <w:sz w:val="21"/>
        </w:rPr>
        <w:t xml:space="preserve">Follow-on operations. </w:t>
      </w:r>
      <w:r>
        <w:rPr>
          <w:rFonts w:ascii="Calibri" w:hAnsi="Calibri"/>
          <w:color w:val="111111"/>
          <w:sz w:val="21"/>
        </w:rPr>
        <w:t>Attacks on the San–Ségou approaches, nearby checkpoints, logistics traffic or reinforcement columns.</w:t>
      </w:r>
    </w:p>
    <w:p>
      <w:pPr>
        <w:pStyle w:val="ListBullet"/>
        <w:keepLines/>
      </w:pPr>
      <w:r>
        <w:rPr>
          <w:rFonts w:ascii="Calibri" w:hAnsi="Calibri"/>
          <w:b/>
          <w:color w:val="0B1F33"/>
          <w:sz w:val="21"/>
        </w:rPr>
        <w:t xml:space="preserve">AES military coordination. </w:t>
      </w:r>
      <w:r>
        <w:rPr>
          <w:rFonts w:ascii="Calibri" w:hAnsi="Calibri"/>
          <w:color w:val="111111"/>
          <w:sz w:val="21"/>
        </w:rPr>
        <w:t>Cross-border air support, joint-force tasking or official coordination language linked to central Mali.</w:t>
      </w:r>
    </w:p>
    <w:p>
      <w:pPr>
        <w:pStyle w:val="ListBullet"/>
        <w:keepLines/>
      </w:pPr>
      <w:r>
        <w:rPr>
          <w:rFonts w:ascii="Calibri" w:hAnsi="Calibri"/>
          <w:b/>
          <w:color w:val="0B1F33"/>
          <w:sz w:val="21"/>
        </w:rPr>
        <w:t xml:space="preserve">Civilian effects. </w:t>
      </w:r>
      <w:r>
        <w:rPr>
          <w:rFonts w:ascii="Calibri" w:hAnsi="Calibri"/>
          <w:color w:val="111111"/>
          <w:sz w:val="21"/>
        </w:rPr>
        <w:t>Displacement from San-area communities, market closure, road restrictions or humanitarian access disruption.</w:t>
      </w:r>
    </w:p>
    <w:p>
      <w:pPr>
        <w:pStyle w:val="ListBullet"/>
        <w:keepLines/>
      </w:pPr>
      <w:r>
        <w:rPr>
          <w:rFonts w:ascii="Calibri" w:hAnsi="Calibri"/>
          <w:b/>
          <w:color w:val="0B1F33"/>
          <w:sz w:val="21"/>
        </w:rPr>
        <w:t xml:space="preserve">Niger forum outcomes. </w:t>
      </w:r>
      <w:r>
        <w:rPr>
          <w:rFonts w:ascii="Calibri" w:hAnsi="Calibri"/>
          <w:color w:val="111111"/>
          <w:sz w:val="21"/>
        </w:rPr>
        <w:t>Publication of a closing communiqué, funding commitments or resilience/security initiatives from Youth Connekt Sahel.</w:t>
      </w:r>
    </w:p>
    <w:p>
      <w:pPr>
        <w:pStyle w:val="ListBullet"/>
        <w:keepLines/>
      </w:pPr>
      <w:r>
        <w:rPr>
          <w:rFonts w:ascii="Calibri" w:hAnsi="Calibri"/>
          <w:b/>
          <w:color w:val="0B1F33"/>
          <w:sz w:val="21"/>
        </w:rPr>
        <w:t xml:space="preserve">Regional spillover. </w:t>
      </w:r>
      <w:r>
        <w:rPr>
          <w:rFonts w:ascii="Calibri" w:hAnsi="Calibri"/>
          <w:color w:val="111111"/>
          <w:sz w:val="21"/>
        </w:rPr>
        <w:t>Heightened alerts or incidents along the Mali–Mauritania, tri-border and Lake Chad corridors and toward coastal West Africa.</w:t>
      </w:r>
    </w:p>
    <w:p>
      <w:pPr>
        <w:keepNext/>
        <w:pageBreakBefore/>
        <w:tabs>
          <w:tab w:pos="7920" w:val="left"/>
        </w:tabs>
        <w:spacing w:before="0" w:after="160" w:line="240" w:lineRule="auto"/>
        <w:pBdr>
          <w:bottom w:val="single" w:sz="8" w:space="1" w:color="B08D3C"/>
        </w:pBdr>
      </w:pPr>
      <w:r>
        <w:rPr>
          <w:rFonts w:ascii="Calibri" w:hAnsi="Calibri"/>
          <w:b/>
          <w:color w:val="0B1F33"/>
          <w:sz w:val="17"/>
        </w:rPr>
        <w:t>I4S.CONSULTING  |  DAILY INTELLIGENCE</w:t>
      </w:r>
      <w:r>
        <w:rPr>
          <w:rFonts w:ascii="Calibri" w:hAnsi="Calibri"/>
          <w:b/>
          <w:color w:val="B08D3C"/>
          <w:sz w:val="17"/>
        </w:rPr>
        <w:tab/>
        <w:t>OPEN SOURCE</w:t>
      </w:r>
    </w:p>
    <w:p>
      <w:pPr>
        <w:pStyle w:val="Heading1"/>
      </w:pPr>
      <w:r>
        <w:t>Source and verification register</w:t>
      </w:r>
    </w:p>
    <w:tbl>
      <w:tblPr>
        <w:tblStyle w:val="TableGrid"/>
        <w:tblW w:type="dxa" w:w="9360"/>
        <w:jc w:val="left"/>
        <w:tblLayout w:type="fixed"/>
        <w:tblLook w:firstColumn="1" w:firstRow="1" w:lastColumn="0" w:lastRow="0" w:noHBand="0" w:noVBand="1" w:val="04A0"/>
        <w:tblInd w:w="120" w:type="dxa"/>
      </w:tblPr>
      <w:tblGrid>
        <w:gridCol w:w="2600"/>
        <w:gridCol w:w="5360"/>
        <w:gridCol w:w="1400"/>
      </w:tblGrid>
      <w:tr>
        <w:trPr>
          <w:tblHeader w:val="true"/>
        </w:trPr>
        <w:tc>
          <w:tcPr>
            <w:tcW w:type="dxa" w:w="2600"/>
            <w:shd w:fill="0B1F33"/>
            <w:tcMar>
              <w:top w:w="80" w:type="dxa"/>
              <w:start w:w="120" w:type="dxa"/>
              <w:bottom w:w="80" w:type="dxa"/>
              <w:end w:w="120" w:type="dxa"/>
            </w:tcMar>
            <w:vAlign w:val="center"/>
          </w:tcPr>
          <w:p>
            <w:pPr>
              <w:spacing w:after="0"/>
              <w:jc w:val="center"/>
            </w:pPr>
            <w:r>
              <w:rPr>
                <w:rFonts w:ascii="Calibri" w:hAnsi="Calibri"/>
                <w:b/>
                <w:color w:val="FFFFFF"/>
                <w:sz w:val="17"/>
              </w:rPr>
              <w:t>Source / date</w:t>
            </w:r>
          </w:p>
        </w:tc>
        <w:tc>
          <w:tcPr>
            <w:tcW w:type="dxa" w:w="5360"/>
            <w:shd w:fill="0B1F33"/>
            <w:tcMar>
              <w:top w:w="80" w:type="dxa"/>
              <w:start w:w="120" w:type="dxa"/>
              <w:bottom w:w="80" w:type="dxa"/>
              <w:end w:w="120" w:type="dxa"/>
            </w:tcMar>
            <w:vAlign w:val="center"/>
          </w:tcPr>
          <w:p>
            <w:pPr>
              <w:spacing w:after="0"/>
              <w:jc w:val="left"/>
            </w:pPr>
            <w:r>
              <w:rPr>
                <w:rFonts w:ascii="Calibri" w:hAnsi="Calibri"/>
                <w:b/>
                <w:color w:val="FFFFFF"/>
                <w:sz w:val="17"/>
              </w:rPr>
              <w:t>Subject</w:t>
            </w:r>
          </w:p>
        </w:tc>
        <w:tc>
          <w:tcPr>
            <w:tcW w:type="dxa" w:w="1400"/>
            <w:shd w:fill="0B1F33"/>
            <w:tcMar>
              <w:top w:w="80" w:type="dxa"/>
              <w:start w:w="120" w:type="dxa"/>
              <w:bottom w:w="80" w:type="dxa"/>
              <w:end w:w="120" w:type="dxa"/>
            </w:tcMar>
            <w:vAlign w:val="center"/>
          </w:tcPr>
          <w:p>
            <w:pPr>
              <w:spacing w:after="0"/>
              <w:jc w:val="center"/>
            </w:pPr>
            <w:r>
              <w:rPr>
                <w:rFonts w:ascii="Calibri" w:hAnsi="Calibri"/>
                <w:b/>
                <w:color w:val="FFFFFF"/>
                <w:sz w:val="17"/>
              </w:rPr>
              <w:t>Publication</w:t>
            </w:r>
          </w:p>
        </w:tc>
      </w:tr>
      <w:tr>
        <w:tc>
          <w:tcPr>
            <w:tcW w:type="dxa" w:w="2600"/>
            <w:tcMar>
              <w:top w:w="80" w:type="dxa"/>
              <w:start w:w="120" w:type="dxa"/>
              <w:bottom w:w="80" w:type="dxa"/>
              <w:end w:w="120" w:type="dxa"/>
            </w:tcMar>
            <w:vAlign w:val="center"/>
          </w:tcPr>
          <w:p>
            <w:pPr>
              <w:spacing w:after="0"/>
            </w:pPr>
            <w:r>
              <w:rPr>
                <w:rFonts w:ascii="Calibri" w:hAnsi="Calibri"/>
                <w:b/>
                <w:color w:val="0B1F33"/>
                <w:sz w:val="17"/>
              </w:rPr>
              <w:t>Nigerien Press Agency (ANP), 17 July 2026</w:t>
            </w:r>
          </w:p>
        </w:tc>
        <w:tc>
          <w:tcPr>
            <w:tcW w:type="dxa" w:w="5360"/>
            <w:tcMar>
              <w:top w:w="80" w:type="dxa"/>
              <w:start w:w="120" w:type="dxa"/>
              <w:bottom w:w="80" w:type="dxa"/>
              <w:end w:w="120" w:type="dxa"/>
            </w:tcMar>
            <w:vAlign w:val="center"/>
          </w:tcPr>
          <w:p>
            <w:pPr>
              <w:spacing w:after="0"/>
            </w:pPr>
            <w:r>
              <w:rPr>
                <w:rFonts w:ascii="Calibri" w:hAnsi="Calibri"/>
                <w:color w:val="111111"/>
                <w:sz w:val="17"/>
              </w:rPr>
              <w:t>Niamey to host the 3rd Youth Connekt Sahel edition, 10–12 August 2026</w:t>
            </w:r>
          </w:p>
        </w:tc>
        <w:tc>
          <w:tcPr>
            <w:tcW w:type="dxa" w:w="1400"/>
            <w:tcMar>
              <w:top w:w="80" w:type="dxa"/>
              <w:start w:w="120" w:type="dxa"/>
              <w:bottom w:w="80" w:type="dxa"/>
              <w:end w:w="120" w:type="dxa"/>
            </w:tcMar>
            <w:vAlign w:val="center"/>
          </w:tcPr>
          <w:p>
            <w:pPr>
              <w:spacing w:after="0"/>
            </w:pPr>
            <w:hyperlink r:id="rId11">
              <w:r>
                <w:rPr>
                  <w:rFonts w:ascii="Calibri" w:hAnsi="Calibri"/>
                  <w:color w:val="2E74B5"/>
                  <w:sz w:val="17"/>
                  <w:szCs w:val="17"/>
                  <w:u w:val="single"/>
                </w:rPr>
                <w:t>Open source</w:t>
              </w:r>
            </w:hyperlink>
          </w:p>
        </w:tc>
      </w:tr>
      <w:tr>
        <w:tc>
          <w:tcPr>
            <w:tcW w:type="dxa" w:w="2600"/>
            <w:tcMar>
              <w:top w:w="80" w:type="dxa"/>
              <w:start w:w="120" w:type="dxa"/>
              <w:bottom w:w="80" w:type="dxa"/>
              <w:end w:w="120" w:type="dxa"/>
            </w:tcMar>
            <w:vAlign w:val="center"/>
          </w:tcPr>
          <w:p>
            <w:pPr>
              <w:spacing w:after="0"/>
            </w:pPr>
            <w:r>
              <w:rPr>
                <w:rFonts w:ascii="Calibri" w:hAnsi="Calibri"/>
                <w:b/>
                <w:color w:val="0B1F33"/>
                <w:sz w:val="17"/>
              </w:rPr>
              <w:t>UNOWAS / OCHA, 21 July 2026</w:t>
            </w:r>
          </w:p>
        </w:tc>
        <w:tc>
          <w:tcPr>
            <w:tcW w:type="dxa" w:w="5360"/>
            <w:tcMar>
              <w:top w:w="80" w:type="dxa"/>
              <w:start w:w="120" w:type="dxa"/>
              <w:bottom w:w="80" w:type="dxa"/>
              <w:end w:w="120" w:type="dxa"/>
            </w:tcMar>
            <w:vAlign w:val="center"/>
          </w:tcPr>
          <w:p>
            <w:pPr>
              <w:spacing w:after="0"/>
            </w:pPr>
            <w:r>
              <w:rPr>
                <w:rFonts w:ascii="Calibri" w:hAnsi="Calibri"/>
                <w:color w:val="111111"/>
                <w:sz w:val="17"/>
              </w:rPr>
              <w:t>Sahel: worsening humanitarian needs and 2026 lean-season outlook</w:t>
            </w:r>
          </w:p>
        </w:tc>
        <w:tc>
          <w:tcPr>
            <w:tcW w:type="dxa" w:w="1400"/>
            <w:tcMar>
              <w:top w:w="80" w:type="dxa"/>
              <w:start w:w="120" w:type="dxa"/>
              <w:bottom w:w="80" w:type="dxa"/>
              <w:end w:w="120" w:type="dxa"/>
            </w:tcMar>
            <w:vAlign w:val="center"/>
          </w:tcPr>
          <w:p>
            <w:pPr>
              <w:spacing w:after="0"/>
            </w:pPr>
            <w:hyperlink r:id="rId12">
              <w:r>
                <w:rPr>
                  <w:rFonts w:ascii="Calibri" w:hAnsi="Calibri"/>
                  <w:color w:val="2E74B5"/>
                  <w:sz w:val="17"/>
                  <w:szCs w:val="17"/>
                  <w:u w:val="single"/>
                </w:rPr>
                <w:t>Open source</w:t>
              </w:r>
            </w:hyperlink>
          </w:p>
        </w:tc>
      </w:tr>
      <w:tr>
        <w:tc>
          <w:tcPr>
            <w:tcW w:type="dxa" w:w="2600"/>
            <w:tcMar>
              <w:top w:w="80" w:type="dxa"/>
              <w:start w:w="120" w:type="dxa"/>
              <w:bottom w:w="80" w:type="dxa"/>
              <w:end w:w="120" w:type="dxa"/>
            </w:tcMar>
            <w:vAlign w:val="center"/>
          </w:tcPr>
          <w:p>
            <w:pPr>
              <w:spacing w:after="0"/>
            </w:pPr>
            <w:r>
              <w:rPr>
                <w:rFonts w:ascii="Calibri" w:hAnsi="Calibri"/>
                <w:b/>
                <w:color w:val="0B1F33"/>
                <w:sz w:val="17"/>
              </w:rPr>
              <w:t>Reuters, 20 July 2026</w:t>
            </w:r>
          </w:p>
        </w:tc>
        <w:tc>
          <w:tcPr>
            <w:tcW w:type="dxa" w:w="5360"/>
            <w:tcMar>
              <w:top w:w="80" w:type="dxa"/>
              <w:start w:w="120" w:type="dxa"/>
              <w:bottom w:w="80" w:type="dxa"/>
              <w:end w:w="120" w:type="dxa"/>
            </w:tcMar>
            <w:vAlign w:val="center"/>
          </w:tcPr>
          <w:p>
            <w:pPr>
              <w:spacing w:after="0"/>
            </w:pPr>
            <w:r>
              <w:rPr>
                <w:rFonts w:ascii="Calibri" w:hAnsi="Calibri"/>
                <w:color w:val="111111"/>
                <w:sz w:val="17"/>
              </w:rPr>
              <w:t>Mali insurgents ambush army convoy; casualty claims not independently confirmed</w:t>
            </w:r>
          </w:p>
        </w:tc>
        <w:tc>
          <w:tcPr>
            <w:tcW w:type="dxa" w:w="1400"/>
            <w:tcMar>
              <w:top w:w="80" w:type="dxa"/>
              <w:start w:w="120" w:type="dxa"/>
              <w:bottom w:w="80" w:type="dxa"/>
              <w:end w:w="120" w:type="dxa"/>
            </w:tcMar>
            <w:vAlign w:val="center"/>
          </w:tcPr>
          <w:p>
            <w:pPr>
              <w:spacing w:after="0"/>
            </w:pPr>
            <w:hyperlink r:id="rId13">
              <w:r>
                <w:rPr>
                  <w:rFonts w:ascii="Calibri" w:hAnsi="Calibri"/>
                  <w:color w:val="2E74B5"/>
                  <w:sz w:val="17"/>
                  <w:szCs w:val="17"/>
                  <w:u w:val="single"/>
                </w:rPr>
                <w:t>Open source</w:t>
              </w:r>
            </w:hyperlink>
          </w:p>
        </w:tc>
      </w:tr>
      <w:tr>
        <w:tc>
          <w:tcPr>
            <w:tcW w:type="dxa" w:w="2600"/>
            <w:tcMar>
              <w:top w:w="80" w:type="dxa"/>
              <w:start w:w="120" w:type="dxa"/>
              <w:bottom w:w="80" w:type="dxa"/>
              <w:end w:w="120" w:type="dxa"/>
            </w:tcMar>
            <w:vAlign w:val="center"/>
          </w:tcPr>
          <w:p>
            <w:pPr>
              <w:spacing w:after="0"/>
            </w:pPr>
            <w:r>
              <w:rPr>
                <w:rFonts w:ascii="Calibri" w:hAnsi="Calibri"/>
                <w:b/>
                <w:color w:val="0B1F33"/>
                <w:sz w:val="17"/>
              </w:rPr>
              <w:t>Africa Center, 14 July 2026</w:t>
            </w:r>
          </w:p>
        </w:tc>
        <w:tc>
          <w:tcPr>
            <w:tcW w:type="dxa" w:w="5360"/>
            <w:tcMar>
              <w:top w:w="80" w:type="dxa"/>
              <w:start w:w="120" w:type="dxa"/>
              <w:bottom w:w="80" w:type="dxa"/>
              <w:end w:w="120" w:type="dxa"/>
            </w:tcMar>
            <w:vAlign w:val="center"/>
          </w:tcPr>
          <w:p>
            <w:pPr>
              <w:spacing w:after="0"/>
            </w:pPr>
            <w:r>
              <w:rPr>
                <w:rFonts w:ascii="Calibri" w:hAnsi="Calibri"/>
                <w:color w:val="111111"/>
                <w:sz w:val="17"/>
              </w:rPr>
              <w:t>Security deterioration and restrictions on independent reporting</w:t>
            </w:r>
          </w:p>
        </w:tc>
        <w:tc>
          <w:tcPr>
            <w:tcW w:type="dxa" w:w="1400"/>
            <w:tcMar>
              <w:top w:w="80" w:type="dxa"/>
              <w:start w:w="120" w:type="dxa"/>
              <w:bottom w:w="80" w:type="dxa"/>
              <w:end w:w="120" w:type="dxa"/>
            </w:tcMar>
            <w:vAlign w:val="center"/>
          </w:tcPr>
          <w:p>
            <w:pPr>
              <w:spacing w:after="0"/>
            </w:pPr>
            <w:hyperlink r:id="rId14">
              <w:r>
                <w:rPr>
                  <w:rFonts w:ascii="Calibri" w:hAnsi="Calibri"/>
                  <w:color w:val="2E74B5"/>
                  <w:sz w:val="17"/>
                  <w:szCs w:val="17"/>
                  <w:u w:val="single"/>
                </w:rPr>
                <w:t>Open source</w:t>
              </w:r>
            </w:hyperlink>
          </w:p>
        </w:tc>
      </w:tr>
      <w:tr>
        <w:tc>
          <w:tcPr>
            <w:tcW w:type="dxa" w:w="2600"/>
            <w:tcMar>
              <w:top w:w="80" w:type="dxa"/>
              <w:start w:w="120" w:type="dxa"/>
              <w:bottom w:w="80" w:type="dxa"/>
              <w:end w:w="120" w:type="dxa"/>
            </w:tcMar>
            <w:vAlign w:val="center"/>
          </w:tcPr>
          <w:p>
            <w:pPr>
              <w:spacing w:after="0"/>
            </w:pPr>
            <w:r>
              <w:rPr>
                <w:rFonts w:ascii="Calibri" w:hAnsi="Calibri"/>
                <w:b/>
                <w:color w:val="0B1F33"/>
                <w:sz w:val="17"/>
              </w:rPr>
              <w:t>UNHCR, 9 April 2026</w:t>
            </w:r>
          </w:p>
        </w:tc>
        <w:tc>
          <w:tcPr>
            <w:tcW w:type="dxa" w:w="5360"/>
            <w:tcMar>
              <w:top w:w="80" w:type="dxa"/>
              <w:start w:w="120" w:type="dxa"/>
              <w:bottom w:w="80" w:type="dxa"/>
              <w:end w:w="120" w:type="dxa"/>
            </w:tcMar>
            <w:vAlign w:val="center"/>
          </w:tcPr>
          <w:p>
            <w:pPr>
              <w:spacing w:after="0"/>
            </w:pPr>
            <w:r>
              <w:rPr>
                <w:rFonts w:ascii="Calibri" w:hAnsi="Calibri"/>
                <w:color w:val="111111"/>
                <w:sz w:val="17"/>
              </w:rPr>
              <w:t>Funding shortfalls put lifelines at risk for Sudanese refugees in Chad</w:t>
            </w:r>
          </w:p>
        </w:tc>
        <w:tc>
          <w:tcPr>
            <w:tcW w:type="dxa" w:w="1400"/>
            <w:tcMar>
              <w:top w:w="80" w:type="dxa"/>
              <w:start w:w="120" w:type="dxa"/>
              <w:bottom w:w="80" w:type="dxa"/>
              <w:end w:w="120" w:type="dxa"/>
            </w:tcMar>
            <w:vAlign w:val="center"/>
          </w:tcPr>
          <w:p>
            <w:pPr>
              <w:spacing w:after="0"/>
            </w:pPr>
            <w:hyperlink r:id="rId15">
              <w:r>
                <w:rPr>
                  <w:rFonts w:ascii="Calibri" w:hAnsi="Calibri"/>
                  <w:color w:val="2E74B5"/>
                  <w:sz w:val="17"/>
                  <w:szCs w:val="17"/>
                  <w:u w:val="single"/>
                </w:rPr>
                <w:t>Open source</w:t>
              </w:r>
            </w:hyperlink>
          </w:p>
        </w:tc>
      </w:tr>
      <w:tr>
        <w:tc>
          <w:tcPr>
            <w:tcW w:type="dxa" w:w="2600"/>
            <w:tcMar>
              <w:top w:w="80" w:type="dxa"/>
              <w:start w:w="120" w:type="dxa"/>
              <w:bottom w:w="80" w:type="dxa"/>
              <w:end w:w="120" w:type="dxa"/>
            </w:tcMar>
            <w:vAlign w:val="center"/>
          </w:tcPr>
          <w:p>
            <w:pPr>
              <w:spacing w:after="0"/>
            </w:pPr>
            <w:r>
              <w:rPr>
                <w:rFonts w:ascii="Calibri" w:hAnsi="Calibri"/>
                <w:b/>
                <w:color w:val="0B1F33"/>
                <w:sz w:val="17"/>
              </w:rPr>
              <w:t>World Food Programme, current emergency overview</w:t>
            </w:r>
          </w:p>
        </w:tc>
        <w:tc>
          <w:tcPr>
            <w:tcW w:type="dxa" w:w="5360"/>
            <w:tcMar>
              <w:top w:w="80" w:type="dxa"/>
              <w:start w:w="120" w:type="dxa"/>
              <w:bottom w:w="80" w:type="dxa"/>
              <w:end w:w="120" w:type="dxa"/>
            </w:tcMar>
            <w:vAlign w:val="center"/>
          </w:tcPr>
          <w:p>
            <w:pPr>
              <w:spacing w:after="0"/>
            </w:pPr>
            <w:r>
              <w:rPr>
                <w:rFonts w:ascii="Calibri" w:hAnsi="Calibri"/>
                <w:color w:val="111111"/>
                <w:sz w:val="17"/>
              </w:rPr>
              <w:t>Central Sahel emergency: acute hunger and besieged populations</w:t>
            </w:r>
          </w:p>
        </w:tc>
        <w:tc>
          <w:tcPr>
            <w:tcW w:type="dxa" w:w="1400"/>
            <w:tcMar>
              <w:top w:w="80" w:type="dxa"/>
              <w:start w:w="120" w:type="dxa"/>
              <w:bottom w:w="80" w:type="dxa"/>
              <w:end w:w="120" w:type="dxa"/>
            </w:tcMar>
            <w:vAlign w:val="center"/>
          </w:tcPr>
          <w:p>
            <w:pPr>
              <w:spacing w:after="0"/>
            </w:pPr>
            <w:hyperlink r:id="rId16">
              <w:r>
                <w:rPr>
                  <w:rFonts w:ascii="Calibri" w:hAnsi="Calibri"/>
                  <w:color w:val="2E74B5"/>
                  <w:sz w:val="17"/>
                  <w:szCs w:val="17"/>
                  <w:u w:val="single"/>
                </w:rPr>
                <w:t>Open source</w:t>
              </w:r>
            </w:hyperlink>
          </w:p>
        </w:tc>
      </w:tr>
    </w:tbl>
    <w:p>
      <w:pPr>
        <w:pStyle w:val="Heading1"/>
      </w:pPr>
      <w:r>
        <w:t>Method and confidence</w:t>
      </w:r>
    </w:p>
    <w:p>
      <w:pPr>
        <w:keepLines/>
      </w:pPr>
      <w:r>
        <w:t>This brief separates independently verifiable reporting from unconfirmed claims. Confidence terms reflect source quality, corroboration and temporal proximity. Events outside the 24-hour window are included only where necessary to interpret current risk or an ongoing event. The product is intended for situational awareness and should not be used as the sole basis for operational decisions.</w:t>
      </w:r>
    </w:p>
    <w:tbl>
      <w:tblPr>
        <w:tblStyle w:val="TableGrid"/>
        <w:tblW w:type="dxa" w:w="9360"/>
        <w:jc w:val="left"/>
        <w:tblLayout w:type="fixed"/>
        <w:tblLook w:firstColumn="1" w:firstRow="1" w:lastColumn="0" w:lastRow="0" w:noHBand="0" w:noVBand="1" w:val="04A0"/>
        <w:tblInd w:w="120" w:type="dxa"/>
      </w:tblPr>
      <w:tblGrid>
        <w:gridCol w:w="9360"/>
      </w:tblGrid>
      <w:tr>
        <w:tc>
          <w:tcPr>
            <w:tcW w:type="dxa" w:w="9360"/>
            <w:shd w:fill="F6F0E3"/>
            <w:tcMar>
              <w:top w:w="80" w:type="dxa"/>
              <w:start w:w="120" w:type="dxa"/>
              <w:bottom w:w="80" w:type="dxa"/>
              <w:end w:w="120" w:type="dxa"/>
            </w:tcMar>
            <w:vAlign w:val="center"/>
          </w:tcPr>
          <w:p>
            <w:pPr>
              <w:spacing w:after="0"/>
            </w:pPr>
            <w:r>
              <w:rPr>
                <w:rFonts w:ascii="Calibri" w:hAnsi="Calibri"/>
                <w:b/>
                <w:color w:val="B08D3C"/>
                <w:sz w:val="19"/>
              </w:rPr>
              <w:t xml:space="preserve">BOTTOM LINE  </w:t>
            </w:r>
            <w:r>
              <w:rPr>
                <w:rFonts w:ascii="Calibri" w:hAnsi="Calibri"/>
                <w:color w:val="111111"/>
                <w:sz w:val="19"/>
              </w:rPr>
              <w:t>No verified strategic shift was identified in the last 24 hours. The unresolved San reporting and absence of a Niger forum closing record warrant priority collection; the regional threat picture remains elevated and information latency is itself a risk factor.</w:t>
            </w:r>
          </w:p>
        </w:tc>
      </w:tr>
    </w:tbl>
    <w:sectPr w:rsidR="00FC693F" w:rsidRPr="0006063C" w:rsidSect="00034616">
      <w:footerReference w:type="default" r:id="rId9"/>
      <w:pgSz w:w="12240" w:h="15840"/>
      <w:pgMar w:top="1296" w:right="1440" w:bottom="1037" w:left="1440" w:header="317"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libri" w:hAnsi="Calibri"/>
        <w:color w:val="667788"/>
        <w:sz w:val="16"/>
      </w:rPr>
      <w:t xml:space="preserve">I4S.Consulting | Open Source Intelligence  •  </w:t>
    </w:r>
    <w:r>
      <w:fldChar w:fldCharType="begin"/>
      <w:instrText xml:space="preserve"> PAGE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1111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0B1F33"/>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before="0"/>
      <w:contextualSpacing/>
    </w:pPr>
    <w:rPr>
      <w:rFonts w:asciiTheme="majorHAnsi" w:eastAsiaTheme="majorEastAsia" w:hAnsiTheme="majorHAnsi" w:cstheme="majorBidi" w:ascii="Calibri" w:hAnsi="Calibri"/>
      <w:b/>
      <w:color w:val="0B1F33"/>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667788"/>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00" w:line="264" w:lineRule="auto"/>
      <w:ind w:left="720" w:hanging="360"/>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100" w:line="264" w:lineRule="auto"/>
      <w:ind w:left="720" w:hanging="360"/>
      <w:contextualSpacing/>
    </w:pPr>
    <w:rPr>
      <w:rFonts w:ascii="Calibri" w:hAnsi="Calibri"/>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anp.ne/niamey-accueille-la-3%E1%B5%89-edition-de-youth-connekt-sahel-du-10-au-12-aout-2026/" TargetMode="External"/><Relationship Id="rId12" Type="http://schemas.openxmlformats.org/officeDocument/2006/relationships/hyperlink" Target="https://unowas.unmissions.org/en/sahel-ocha-warns-of-worsening-humanitarian-needs-in-2026" TargetMode="External"/><Relationship Id="rId13" Type="http://schemas.openxmlformats.org/officeDocument/2006/relationships/hyperlink" Target="https://www.polity.org.za/article/mali-insurgents-ambush-army-convoy-source-says-more-than-50-killed-2026-07-20" TargetMode="External"/><Relationship Id="rId14" Type="http://schemas.openxmlformats.org/officeDocument/2006/relationships/hyperlink" Target="https://africacenter.org/spotlight/security-sahel-juntas-stifle-civilians/" TargetMode="External"/><Relationship Id="rId15" Type="http://schemas.openxmlformats.org/officeDocument/2006/relationships/hyperlink" Target="https://www.unhcr.org/africa/news/press-releases/funding-shortfalls-put-lifelines-risk-sudanese-refugees-chad" TargetMode="External"/><Relationship Id="rId16" Type="http://schemas.openxmlformats.org/officeDocument/2006/relationships/hyperlink" Target="https://www.wfp.org/emergencies/sahel-emergen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Sahel Daily Intelligence Brief — 13 August 2026</dc:title>
  <dc:subject>Open-source intelligence brief covering the Sahel</dc:subject>
  <dc:creator>I4S.Consulting</dc:creator>
  <cp:keywords>Sahel, Mali, Burkina Faso, Niger, Mauritania, Chad, intelligence, security</cp:keywords>
  <dc:description>Prepared from open sources; verification caveats apply.</dc:description>
  <cp:lastModifiedBy/>
  <cp:revision>1</cp:revision>
  <dcterms:created xsi:type="dcterms:W3CDTF">2013-12-23T23:15:00Z</dcterms:created>
  <dcterms:modified xsi:type="dcterms:W3CDTF">2013-12-23T23:15:00Z</dcterms:modified>
  <cp:category/>
</cp:coreProperties>
</file>